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A83" w:rsidRPr="006428D0" w:rsidRDefault="001D4A83" w:rsidP="001D4A83">
      <w:pPr>
        <w:rPr>
          <w:rFonts w:asciiTheme="minorHAnsi" w:hAnsiTheme="minorHAnsi" w:cstheme="minorHAnsi"/>
          <w:sz w:val="22"/>
          <w:szCs w:val="22"/>
        </w:rPr>
      </w:pPr>
    </w:p>
    <w:p w:rsidR="004B42FD" w:rsidRPr="004B42FD" w:rsidRDefault="00C776EA" w:rsidP="004B42FD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4B42FD" w:rsidRPr="00A14C8F">
        <w:rPr>
          <w:rFonts w:asciiTheme="minorHAnsi" w:hAnsiTheme="minorHAnsi" w:cstheme="minorHAnsi"/>
          <w:sz w:val="22"/>
          <w:szCs w:val="22"/>
          <w:lang w:val="en-US"/>
        </w:rPr>
        <w:t xml:space="preserve">IPCMS </w:t>
      </w:r>
      <w:r w:rsidRPr="00A14C8F">
        <w:rPr>
          <w:rFonts w:asciiTheme="minorHAnsi" w:hAnsiTheme="minorHAnsi" w:cstheme="minorHAnsi"/>
          <w:sz w:val="22"/>
          <w:szCs w:val="22"/>
          <w:lang w:val="en-US"/>
        </w:rPr>
        <w:t>is endowed with</w:t>
      </w:r>
      <w:r w:rsidR="004B42FD"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 four platforms (</w:t>
      </w:r>
      <w:r w:rsidR="004B42FD">
        <w:rPr>
          <w:rFonts w:asciiTheme="minorHAnsi" w:hAnsiTheme="minorHAnsi" w:cstheme="minorHAnsi"/>
          <w:sz w:val="22"/>
          <w:szCs w:val="22"/>
          <w:lang w:val="en-US"/>
        </w:rPr>
        <w:t>SEM</w:t>
      </w:r>
      <w:r w:rsidR="004B42FD" w:rsidRPr="004B42FD">
        <w:rPr>
          <w:rFonts w:asciiTheme="minorHAnsi" w:hAnsiTheme="minorHAnsi" w:cstheme="minorHAnsi"/>
          <w:sz w:val="22"/>
          <w:szCs w:val="22"/>
          <w:lang w:val="en-US"/>
        </w:rPr>
        <w:t>, STnano</w:t>
      </w:r>
      <w:r w:rsidR="004B42FD">
        <w:rPr>
          <w:rFonts w:asciiTheme="minorHAnsi" w:hAnsiTheme="minorHAnsi" w:cstheme="minorHAnsi"/>
          <w:sz w:val="22"/>
          <w:szCs w:val="22"/>
          <w:lang w:val="en-US"/>
        </w:rPr>
        <w:t>,TE</w:t>
      </w:r>
      <w:r w:rsidR="004B42FD"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M, </w:t>
      </w:r>
      <w:r w:rsidR="004B42FD">
        <w:rPr>
          <w:rFonts w:asciiTheme="minorHAnsi" w:hAnsiTheme="minorHAnsi" w:cstheme="minorHAnsi"/>
          <w:sz w:val="22"/>
          <w:szCs w:val="22"/>
          <w:lang w:val="en-US"/>
        </w:rPr>
        <w:t>X</w:t>
      </w:r>
      <w:r w:rsidR="00B94024">
        <w:rPr>
          <w:rFonts w:asciiTheme="minorHAnsi" w:hAnsiTheme="minorHAnsi" w:cstheme="minorHAnsi"/>
          <w:sz w:val="22"/>
          <w:szCs w:val="22"/>
          <w:lang w:val="en-US"/>
        </w:rPr>
        <w:t>RD, PLD, MagTransCS</w:t>
      </w:r>
      <w:r w:rsidR="004B42FD"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  <w:r>
        <w:rPr>
          <w:rFonts w:asciiTheme="minorHAnsi" w:hAnsiTheme="minorHAnsi" w:cstheme="minorHAnsi"/>
          <w:sz w:val="22"/>
          <w:szCs w:val="22"/>
          <w:lang w:val="en-US"/>
        </w:rPr>
        <w:t>that</w:t>
      </w:r>
      <w:r w:rsidR="004B42FD"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 are open to users</w:t>
      </w:r>
      <w:r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4B42FD"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 whether internal or external to the Institute. The platforms </w:t>
      </w:r>
      <w:r w:rsidR="00816D03" w:rsidRPr="00816D03">
        <w:rPr>
          <w:rFonts w:asciiTheme="minorHAnsi" w:hAnsiTheme="minorHAnsi" w:cstheme="minorHAnsi"/>
          <w:sz w:val="22"/>
          <w:szCs w:val="22"/>
          <w:lang w:val="en-US"/>
        </w:rPr>
        <w:t xml:space="preserve">are governed by a quality approach that should result in </w:t>
      </w:r>
      <w:r w:rsidR="00816D03" w:rsidRPr="004B42FD">
        <w:rPr>
          <w:rFonts w:asciiTheme="minorHAnsi" w:hAnsiTheme="minorHAnsi" w:cstheme="minorHAnsi"/>
          <w:sz w:val="22"/>
          <w:szCs w:val="22"/>
          <w:lang w:val="en-US"/>
        </w:rPr>
        <w:t>ISO 9001</w:t>
      </w:r>
      <w:r w:rsidR="00981B55">
        <w:rPr>
          <w:rFonts w:asciiTheme="minorHAnsi" w:hAnsiTheme="minorHAnsi" w:cstheme="minorHAnsi"/>
          <w:sz w:val="22"/>
          <w:szCs w:val="22"/>
          <w:lang w:val="en-US"/>
        </w:rPr>
        <w:t>-2015</w:t>
      </w:r>
      <w:r w:rsidR="00816D03" w:rsidRPr="00816D03">
        <w:rPr>
          <w:rFonts w:asciiTheme="minorHAnsi" w:hAnsiTheme="minorHAnsi" w:cstheme="minorHAnsi"/>
          <w:sz w:val="22"/>
          <w:szCs w:val="22"/>
          <w:lang w:val="en-US"/>
        </w:rPr>
        <w:t>certification</w:t>
      </w:r>
      <w:r w:rsidR="004B42FD" w:rsidRPr="004B42FD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4B42FD" w:rsidRPr="004B42FD" w:rsidRDefault="004B42FD" w:rsidP="004B42F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As such, </w:t>
      </w:r>
      <w:r w:rsidR="00816D03"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816D03" w:rsidRPr="00816D03">
        <w:rPr>
          <w:rFonts w:asciiTheme="minorHAnsi" w:hAnsiTheme="minorHAnsi" w:cstheme="minorHAnsi"/>
          <w:sz w:val="22"/>
          <w:szCs w:val="22"/>
          <w:lang w:val="en-US"/>
        </w:rPr>
        <w:t xml:space="preserve">pon approval of 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the application, the </w:t>
      </w:r>
      <w:r w:rsidR="00816D03">
        <w:rPr>
          <w:rFonts w:asciiTheme="minorHAnsi" w:hAnsiTheme="minorHAnsi" w:cstheme="minorHAnsi"/>
          <w:sz w:val="22"/>
          <w:szCs w:val="22"/>
          <w:lang w:val="en-US"/>
        </w:rPr>
        <w:t xml:space="preserve">commitments of the 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platforms </w:t>
      </w:r>
      <w:r w:rsidR="00816D03">
        <w:rPr>
          <w:rFonts w:asciiTheme="minorHAnsi" w:hAnsiTheme="minorHAnsi" w:cstheme="minorHAnsi"/>
          <w:sz w:val="22"/>
          <w:szCs w:val="22"/>
          <w:lang w:val="en-US"/>
        </w:rPr>
        <w:t>are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 to:</w:t>
      </w:r>
    </w:p>
    <w:p w:rsidR="004B42FD" w:rsidRPr="004B42FD" w:rsidRDefault="004B42FD" w:rsidP="004B42F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- carry out the analysis or the </w:t>
      </w:r>
      <w:r w:rsidR="00FA5B0C">
        <w:rPr>
          <w:rFonts w:asciiTheme="minorHAnsi" w:hAnsiTheme="minorHAnsi" w:cstheme="minorHAnsi"/>
          <w:sz w:val="22"/>
          <w:szCs w:val="22"/>
          <w:lang w:val="en-US"/>
        </w:rPr>
        <w:t>service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:rsidR="004B42FD" w:rsidRPr="004B42FD" w:rsidRDefault="004B42FD" w:rsidP="004B42F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B42FD">
        <w:rPr>
          <w:rFonts w:asciiTheme="minorHAnsi" w:hAnsiTheme="minorHAnsi" w:cstheme="minorHAnsi"/>
          <w:sz w:val="22"/>
          <w:szCs w:val="22"/>
          <w:lang w:val="en-US"/>
        </w:rPr>
        <w:t>- train users if the project requires it,</w:t>
      </w:r>
    </w:p>
    <w:p w:rsidR="004B42FD" w:rsidRPr="004B42FD" w:rsidRDefault="004B42FD" w:rsidP="004B42F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B42FD">
        <w:rPr>
          <w:rFonts w:asciiTheme="minorHAnsi" w:hAnsiTheme="minorHAnsi" w:cstheme="minorHAnsi"/>
          <w:sz w:val="22"/>
          <w:szCs w:val="22"/>
          <w:lang w:val="en-US"/>
        </w:rPr>
        <w:t>- ensure access to equipment,</w:t>
      </w:r>
    </w:p>
    <w:p w:rsidR="004A5A4B" w:rsidRDefault="004A5A4B" w:rsidP="004B42FD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- inform the project leader of the estimated project cost to utilize the platform</w:t>
      </w:r>
    </w:p>
    <w:p w:rsidR="004A5A4B" w:rsidRDefault="004A5A4B" w:rsidP="004A5A4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- inform users </w:t>
      </w:r>
      <w:r>
        <w:rPr>
          <w:rFonts w:asciiTheme="minorHAnsi" w:hAnsiTheme="minorHAnsi" w:cstheme="minorHAnsi"/>
          <w:sz w:val="22"/>
          <w:szCs w:val="22"/>
          <w:lang w:val="en-US"/>
        </w:rPr>
        <w:t>of any malfunctions (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>maintenance, breakdown).</w:t>
      </w:r>
    </w:p>
    <w:p w:rsidR="004A5A4B" w:rsidRPr="004B42FD" w:rsidRDefault="004A5A4B" w:rsidP="004B42FD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B42FD" w:rsidRPr="004B42FD" w:rsidRDefault="004B42FD" w:rsidP="004B42FD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B42FD" w:rsidRPr="004B42FD" w:rsidRDefault="004B42FD" w:rsidP="004B42F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B42FD">
        <w:rPr>
          <w:rFonts w:asciiTheme="minorHAnsi" w:hAnsiTheme="minorHAnsi" w:cstheme="minorHAnsi"/>
          <w:sz w:val="22"/>
          <w:szCs w:val="22"/>
          <w:lang w:val="en-US"/>
        </w:rPr>
        <w:t>Given the multi-user nature of the platforms</w:t>
      </w:r>
      <w:r w:rsidR="004A5A4B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 and to maintain a maximum level of quality, the user of the platforms </w:t>
      </w:r>
      <w:r w:rsidRPr="00BA09C6">
        <w:rPr>
          <w:rFonts w:asciiTheme="minorHAnsi" w:hAnsiTheme="minorHAnsi" w:cstheme="minorHAnsi"/>
          <w:sz w:val="22"/>
          <w:szCs w:val="22"/>
          <w:lang w:val="en-US"/>
        </w:rPr>
        <w:t>commits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 via the acceptance of this </w:t>
      </w:r>
      <w:r w:rsidRPr="007C371D">
        <w:rPr>
          <w:rFonts w:asciiTheme="minorHAnsi" w:hAnsiTheme="minorHAnsi" w:cstheme="minorHAnsi"/>
          <w:sz w:val="22"/>
          <w:szCs w:val="22"/>
          <w:lang w:val="en-US"/>
        </w:rPr>
        <w:t>charter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 to:</w:t>
      </w:r>
    </w:p>
    <w:p w:rsidR="004B42FD" w:rsidRPr="004B42FD" w:rsidRDefault="004B42FD" w:rsidP="004B42FD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B42FD" w:rsidRPr="004B42FD" w:rsidRDefault="004B42FD" w:rsidP="004B42F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1) </w:t>
      </w:r>
      <w:r w:rsidR="00FB6226">
        <w:rPr>
          <w:rFonts w:asciiTheme="minorHAnsi" w:hAnsiTheme="minorHAnsi" w:cstheme="minorHAnsi"/>
          <w:sz w:val="22"/>
          <w:szCs w:val="22"/>
          <w:lang w:val="en-US"/>
        </w:rPr>
        <w:t>fill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>out a</w:t>
      </w:r>
      <w:r w:rsidR="00FA5B0C">
        <w:rPr>
          <w:rFonts w:asciiTheme="minorHAnsi" w:hAnsiTheme="minorHAnsi" w:cstheme="minorHAnsi"/>
          <w:sz w:val="22"/>
          <w:szCs w:val="22"/>
          <w:lang w:val="en-US"/>
        </w:rPr>
        <w:t>n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 application form</w:t>
      </w:r>
    </w:p>
    <w:p w:rsidR="004B42FD" w:rsidRPr="004B42FD" w:rsidRDefault="004B42FD" w:rsidP="004B42FD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B42FD" w:rsidRPr="004B42FD" w:rsidRDefault="004B42FD" w:rsidP="004B42F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2) </w:t>
      </w:r>
      <w:r w:rsidR="00FB6226">
        <w:rPr>
          <w:rFonts w:asciiTheme="minorHAnsi" w:hAnsiTheme="minorHAnsi" w:cstheme="minorHAnsi"/>
          <w:sz w:val="22"/>
          <w:szCs w:val="22"/>
          <w:lang w:val="en-US"/>
        </w:rPr>
        <w:t>respect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4A5A4B">
        <w:rPr>
          <w:rFonts w:asciiTheme="minorHAnsi" w:hAnsiTheme="minorHAnsi" w:cstheme="minorHAnsi"/>
          <w:sz w:val="22"/>
          <w:szCs w:val="22"/>
          <w:lang w:val="en-US"/>
        </w:rPr>
        <w:t xml:space="preserve">following 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safety </w:t>
      </w:r>
      <w:r w:rsidR="00EA41F7" w:rsidRPr="004B42FD">
        <w:rPr>
          <w:rFonts w:asciiTheme="minorHAnsi" w:hAnsiTheme="minorHAnsi" w:cstheme="minorHAnsi"/>
          <w:sz w:val="22"/>
          <w:szCs w:val="22"/>
          <w:lang w:val="en-US"/>
        </w:rPr>
        <w:t>rules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:rsidR="004B42FD" w:rsidRPr="004B42FD" w:rsidRDefault="004B42FD" w:rsidP="004B42F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 w:rsidR="00FB6226">
        <w:rPr>
          <w:rFonts w:asciiTheme="minorHAnsi" w:hAnsiTheme="minorHAnsi" w:cstheme="minorHAnsi"/>
          <w:sz w:val="22"/>
          <w:szCs w:val="22"/>
          <w:lang w:val="en-US"/>
        </w:rPr>
        <w:t>respect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the specific rules </w:t>
      </w:r>
      <w:r>
        <w:rPr>
          <w:rFonts w:asciiTheme="minorHAnsi" w:hAnsiTheme="minorHAnsi" w:cstheme="minorHAnsi"/>
          <w:sz w:val="22"/>
          <w:szCs w:val="22"/>
          <w:lang w:val="en-US"/>
        </w:rPr>
        <w:t>of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 each platform,</w:t>
      </w:r>
    </w:p>
    <w:p w:rsidR="004B42FD" w:rsidRPr="004B42FD" w:rsidRDefault="004B42FD" w:rsidP="004B42F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 w:rsidR="00FB6226">
        <w:rPr>
          <w:rFonts w:asciiTheme="minorHAnsi" w:hAnsiTheme="minorHAnsi" w:cstheme="minorHAnsi"/>
          <w:sz w:val="22"/>
          <w:szCs w:val="22"/>
          <w:lang w:val="en-US"/>
        </w:rPr>
        <w:t>work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>only during the opening hours of the platforms (</w:t>
      </w:r>
      <w:r w:rsidR="004A5A4B">
        <w:rPr>
          <w:rFonts w:asciiTheme="minorHAnsi" w:hAnsiTheme="minorHAnsi" w:cstheme="minorHAnsi"/>
          <w:sz w:val="22"/>
          <w:szCs w:val="22"/>
          <w:lang w:val="en-US"/>
        </w:rPr>
        <w:t xml:space="preserve">exceptions requirethe 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>written authorization from the platform manager and the director of the institute);</w:t>
      </w:r>
    </w:p>
    <w:p w:rsidR="004B42FD" w:rsidRPr="004B42FD" w:rsidRDefault="00B1261D" w:rsidP="004B42FD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 w:rsidR="004A5A4B">
        <w:rPr>
          <w:rFonts w:asciiTheme="minorHAnsi" w:hAnsiTheme="minorHAnsi" w:cstheme="minorHAnsi"/>
          <w:sz w:val="22"/>
          <w:szCs w:val="22"/>
          <w:lang w:val="en-US"/>
        </w:rPr>
        <w:t xml:space="preserve">not </w:t>
      </w:r>
      <w:r w:rsidR="00FB6226">
        <w:rPr>
          <w:rFonts w:asciiTheme="minorHAnsi" w:hAnsiTheme="minorHAnsi" w:cstheme="minorHAnsi"/>
          <w:sz w:val="22"/>
          <w:szCs w:val="22"/>
          <w:lang w:val="en-US"/>
        </w:rPr>
        <w:t>introduce</w:t>
      </w:r>
      <w:r w:rsidR="004B42FD" w:rsidRPr="00BA09C6">
        <w:rPr>
          <w:rFonts w:asciiTheme="minorHAnsi" w:hAnsiTheme="minorHAnsi" w:cstheme="minorHAnsi"/>
          <w:sz w:val="22"/>
          <w:szCs w:val="22"/>
          <w:lang w:val="en-US"/>
        </w:rPr>
        <w:t>unauthorized</w:t>
      </w:r>
      <w:r w:rsidR="004B42FD"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 persons </w:t>
      </w:r>
      <w:r w:rsidR="004A5A4B">
        <w:rPr>
          <w:rFonts w:asciiTheme="minorHAnsi" w:hAnsiTheme="minorHAnsi" w:cstheme="minorHAnsi"/>
          <w:sz w:val="22"/>
          <w:szCs w:val="22"/>
          <w:lang w:val="en-US"/>
        </w:rPr>
        <w:t xml:space="preserve">into the platform </w:t>
      </w:r>
      <w:r w:rsidR="004B42FD" w:rsidRPr="004B42FD">
        <w:rPr>
          <w:rFonts w:asciiTheme="minorHAnsi" w:hAnsiTheme="minorHAnsi" w:cstheme="minorHAnsi"/>
          <w:sz w:val="22"/>
          <w:szCs w:val="22"/>
          <w:lang w:val="en-US"/>
        </w:rPr>
        <w:t>without the prior authorization of the p</w:t>
      </w:r>
      <w:r w:rsidR="00EA41F7">
        <w:rPr>
          <w:rFonts w:asciiTheme="minorHAnsi" w:hAnsiTheme="minorHAnsi" w:cstheme="minorHAnsi"/>
          <w:sz w:val="22"/>
          <w:szCs w:val="22"/>
          <w:lang w:val="en-US"/>
        </w:rPr>
        <w:t>latform manager</w:t>
      </w:r>
      <w:r w:rsidR="004B42FD" w:rsidRPr="004B42FD"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:rsidR="004B42FD" w:rsidRPr="004B42FD" w:rsidRDefault="004B42FD" w:rsidP="004B42FD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B42FD" w:rsidRPr="004B42FD" w:rsidRDefault="004B42FD" w:rsidP="004B42F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3) </w:t>
      </w:r>
      <w:r w:rsidR="00FB6226">
        <w:rPr>
          <w:rFonts w:asciiTheme="minorHAnsi" w:hAnsiTheme="minorHAnsi" w:cstheme="minorHAnsi"/>
          <w:sz w:val="22"/>
          <w:szCs w:val="22"/>
          <w:lang w:val="en-US"/>
        </w:rPr>
        <w:t xml:space="preserve">take </w:t>
      </w:r>
      <w:r w:rsidR="00EA41F7">
        <w:rPr>
          <w:rFonts w:asciiTheme="minorHAnsi" w:hAnsiTheme="minorHAnsi" w:cstheme="minorHAnsi"/>
          <w:sz w:val="22"/>
          <w:szCs w:val="22"/>
          <w:lang w:val="en-US"/>
        </w:rPr>
        <w:t xml:space="preserve">care of 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the equipment at </w:t>
      </w:r>
      <w:r w:rsidR="004A5A4B">
        <w:rPr>
          <w:rFonts w:asciiTheme="minorHAnsi" w:hAnsiTheme="minorHAnsi" w:cstheme="minorHAnsi"/>
          <w:sz w:val="22"/>
          <w:szCs w:val="22"/>
          <w:lang w:val="en-US"/>
        </w:rPr>
        <w:t>her</w:t>
      </w:r>
      <w:r w:rsidR="001B11F5">
        <w:rPr>
          <w:rFonts w:asciiTheme="minorHAnsi" w:hAnsiTheme="minorHAnsi" w:cstheme="minorHAnsi"/>
          <w:sz w:val="22"/>
          <w:szCs w:val="22"/>
          <w:lang w:val="en-US"/>
        </w:rPr>
        <w:t>/his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>disposal:</w:t>
      </w:r>
    </w:p>
    <w:p w:rsidR="004B42FD" w:rsidRPr="004B42FD" w:rsidRDefault="004B42FD" w:rsidP="004B42F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 w:rsidR="00FB6226">
        <w:rPr>
          <w:rFonts w:asciiTheme="minorHAnsi" w:hAnsiTheme="minorHAnsi" w:cstheme="minorHAnsi"/>
          <w:sz w:val="22"/>
          <w:szCs w:val="22"/>
          <w:lang w:val="en-US"/>
        </w:rPr>
        <w:t>use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only the equipment for which </w:t>
      </w:r>
      <w:r w:rsidR="004A5A4B">
        <w:rPr>
          <w:rFonts w:asciiTheme="minorHAnsi" w:hAnsiTheme="minorHAnsi" w:cstheme="minorHAnsi"/>
          <w:sz w:val="22"/>
          <w:szCs w:val="22"/>
          <w:lang w:val="en-US"/>
        </w:rPr>
        <w:t>she</w:t>
      </w:r>
      <w:r w:rsidR="001B11F5">
        <w:rPr>
          <w:rFonts w:asciiTheme="minorHAnsi" w:hAnsiTheme="minorHAnsi" w:cstheme="minorHAnsi"/>
          <w:sz w:val="22"/>
          <w:szCs w:val="22"/>
          <w:lang w:val="en-US"/>
        </w:rPr>
        <w:t>/he</w:t>
      </w:r>
      <w:r w:rsidRPr="00154DDB">
        <w:rPr>
          <w:rFonts w:asciiTheme="minorHAnsi" w:hAnsiTheme="minorHAnsi" w:cstheme="minorHAnsi"/>
          <w:sz w:val="22"/>
          <w:szCs w:val="22"/>
          <w:lang w:val="en-US"/>
        </w:rPr>
        <w:t xml:space="preserve">was </w:t>
      </w:r>
      <w:r w:rsidR="00EA41F7">
        <w:rPr>
          <w:rFonts w:asciiTheme="minorHAnsi" w:hAnsiTheme="minorHAnsi" w:cstheme="minorHAnsi"/>
          <w:sz w:val="22"/>
          <w:szCs w:val="22"/>
          <w:lang w:val="en-US"/>
        </w:rPr>
        <w:t>trained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:rsidR="004B42FD" w:rsidRPr="004B42FD" w:rsidRDefault="004B42FD" w:rsidP="004B42F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- notify </w:t>
      </w:r>
      <w:r w:rsidR="00EA41F7">
        <w:rPr>
          <w:rFonts w:asciiTheme="minorHAnsi" w:hAnsiTheme="minorHAnsi" w:cstheme="minorHAnsi"/>
          <w:sz w:val="22"/>
          <w:szCs w:val="22"/>
          <w:lang w:val="en-US"/>
        </w:rPr>
        <w:t>the staff</w:t>
      </w:r>
      <w:r w:rsidR="004A5A4B">
        <w:rPr>
          <w:rFonts w:asciiTheme="minorHAnsi" w:hAnsiTheme="minorHAnsi" w:cstheme="minorHAnsi"/>
          <w:sz w:val="22"/>
          <w:szCs w:val="22"/>
          <w:lang w:val="en-US"/>
        </w:rPr>
        <w:t xml:space="preserve">of 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any malfunction or problem on </w:t>
      </w:r>
      <w:r w:rsidR="00981B55" w:rsidRPr="004B42FD">
        <w:rPr>
          <w:rFonts w:asciiTheme="minorHAnsi" w:hAnsiTheme="minorHAnsi" w:cstheme="minorHAnsi"/>
          <w:sz w:val="22"/>
          <w:szCs w:val="22"/>
          <w:lang w:val="en-US"/>
        </w:rPr>
        <w:t>equipment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:rsidR="004B42FD" w:rsidRPr="004B42FD" w:rsidRDefault="004B42FD" w:rsidP="004B42F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 w:rsidR="00EA41F7">
        <w:rPr>
          <w:rFonts w:asciiTheme="minorHAnsi" w:hAnsiTheme="minorHAnsi" w:cstheme="minorHAnsi"/>
          <w:sz w:val="22"/>
          <w:szCs w:val="22"/>
          <w:lang w:val="en-US"/>
        </w:rPr>
        <w:t xml:space="preserve">not </w:t>
      </w:r>
      <w:r w:rsidR="00FB6226">
        <w:rPr>
          <w:rFonts w:asciiTheme="minorHAnsi" w:hAnsiTheme="minorHAnsi" w:cstheme="minorHAnsi"/>
          <w:sz w:val="22"/>
          <w:szCs w:val="22"/>
          <w:lang w:val="en-US"/>
        </w:rPr>
        <w:t xml:space="preserve">perform </w:t>
      </w:r>
      <w:r w:rsidR="00EA41F7">
        <w:rPr>
          <w:rFonts w:asciiTheme="minorHAnsi" w:hAnsiTheme="minorHAnsi" w:cstheme="minorHAnsi"/>
          <w:sz w:val="22"/>
          <w:szCs w:val="22"/>
          <w:lang w:val="en-US"/>
        </w:rPr>
        <w:t xml:space="preserve">any 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personal </w:t>
      </w:r>
      <w:r w:rsidR="00FA187B">
        <w:rPr>
          <w:rFonts w:asciiTheme="minorHAnsi" w:hAnsiTheme="minorHAnsi" w:cstheme="minorHAnsi"/>
          <w:sz w:val="22"/>
          <w:szCs w:val="22"/>
          <w:lang w:val="en-US"/>
        </w:rPr>
        <w:t>maintenance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 xml:space="preserve">on the </w:t>
      </w:r>
      <w:r w:rsidR="00EA41F7">
        <w:rPr>
          <w:rFonts w:asciiTheme="minorHAnsi" w:hAnsiTheme="minorHAnsi" w:cstheme="minorHAnsi"/>
          <w:sz w:val="22"/>
          <w:szCs w:val="22"/>
          <w:lang w:val="en-US"/>
        </w:rPr>
        <w:t>equipment</w:t>
      </w:r>
      <w:r w:rsidRPr="004B42FD"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:rsidR="004B42FD" w:rsidRPr="004B42FD" w:rsidRDefault="004B42FD" w:rsidP="004B42F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B42FD">
        <w:rPr>
          <w:rFonts w:asciiTheme="minorHAnsi" w:hAnsiTheme="minorHAnsi" w:cstheme="minorHAnsi"/>
          <w:sz w:val="22"/>
          <w:szCs w:val="22"/>
          <w:lang w:val="en-US"/>
        </w:rPr>
        <w:t>- not train other users.</w:t>
      </w:r>
    </w:p>
    <w:p w:rsidR="004B42FD" w:rsidRPr="004B42FD" w:rsidRDefault="004B42FD" w:rsidP="004B42FD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B42FD" w:rsidRPr="004B42FD" w:rsidRDefault="00B1261D" w:rsidP="004B42FD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Concerning </w:t>
      </w:r>
      <w:r w:rsidR="00FA187B">
        <w:rPr>
          <w:rFonts w:asciiTheme="minorHAnsi" w:hAnsiTheme="minorHAnsi" w:cstheme="minorHAnsi"/>
          <w:sz w:val="22"/>
          <w:szCs w:val="22"/>
          <w:lang w:val="en-US"/>
        </w:rPr>
        <w:t>the</w:t>
      </w:r>
      <w:r w:rsidR="001B11F5">
        <w:rPr>
          <w:rFonts w:asciiTheme="minorHAnsi" w:hAnsiTheme="minorHAnsi" w:cstheme="minorHAnsi"/>
          <w:sz w:val="22"/>
          <w:szCs w:val="22"/>
          <w:lang w:val="en-US"/>
        </w:rPr>
        <w:t>publication and communication</w:t>
      </w:r>
      <w:r w:rsidR="00154DDB">
        <w:rPr>
          <w:rFonts w:asciiTheme="minorHAnsi" w:hAnsiTheme="minorHAnsi" w:cstheme="minorHAnsi"/>
          <w:sz w:val="22"/>
          <w:szCs w:val="22"/>
          <w:lang w:val="en-US"/>
        </w:rPr>
        <w:t xml:space="preserve"> policy</w:t>
      </w:r>
      <w:r w:rsidR="004B42FD" w:rsidRPr="004B42FD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:rsidR="00981B55" w:rsidRPr="001B11F5" w:rsidRDefault="00981B55" w:rsidP="00981B5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1B11F5">
        <w:rPr>
          <w:rFonts w:asciiTheme="minorHAnsi" w:hAnsiTheme="minorHAnsi" w:cstheme="minorHAnsi"/>
          <w:sz w:val="22"/>
          <w:szCs w:val="22"/>
          <w:lang w:val="en-US"/>
        </w:rPr>
        <w:t xml:space="preserve">- users are required to inform the platform manager of the outcome of their work before publication is effective (publications, communications, patents, positive or negative results, difficulties encountered); </w:t>
      </w:r>
    </w:p>
    <w:p w:rsidR="00981B55" w:rsidRPr="001B11F5" w:rsidRDefault="00981B55" w:rsidP="00981B5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1B11F5">
        <w:rPr>
          <w:rFonts w:asciiTheme="minorHAnsi" w:hAnsiTheme="minorHAnsi" w:cstheme="minorHAnsi"/>
          <w:sz w:val="22"/>
          <w:szCs w:val="22"/>
          <w:lang w:val="en-US"/>
        </w:rPr>
        <w:t xml:space="preserve">- platforms and their staff members involved in the project will be cited in the acknowledgments of every publication, written and / or oral communication; </w:t>
      </w:r>
    </w:p>
    <w:p w:rsidR="001D4A83" w:rsidRPr="00586763" w:rsidRDefault="001B11F5" w:rsidP="001B11F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1B11F5">
        <w:rPr>
          <w:rFonts w:asciiTheme="minorHAnsi" w:hAnsiTheme="minorHAnsi" w:cstheme="minorHAnsi"/>
          <w:sz w:val="22"/>
          <w:szCs w:val="22"/>
          <w:lang w:val="en-US"/>
        </w:rPr>
        <w:t xml:space="preserve">- the platform staff and the principal investigator (PI) shall consult with each other to determine whether authorship (on publications, written and / or oral communications) of certain platform staff members is appropriate. Authorship of </w:t>
      </w:r>
      <w:r w:rsidR="00981B55">
        <w:rPr>
          <w:rFonts w:asciiTheme="minorHAnsi" w:hAnsiTheme="minorHAnsi" w:cstheme="minorHAnsi"/>
          <w:sz w:val="22"/>
          <w:szCs w:val="22"/>
          <w:lang w:val="en-US"/>
        </w:rPr>
        <w:t>platforms</w:t>
      </w:r>
      <w:r w:rsidRPr="001B11F5">
        <w:rPr>
          <w:rFonts w:asciiTheme="minorHAnsi" w:hAnsiTheme="minorHAnsi" w:cstheme="minorHAnsi"/>
          <w:sz w:val="22"/>
          <w:szCs w:val="22"/>
          <w:lang w:val="en-US"/>
        </w:rPr>
        <w:t xml:space="preserve"> staff is required, if specific technical or scientific skills of the staff member(s) were necessary for obtaining the published data or results. Routine work is not granted authorship.</w:t>
      </w:r>
    </w:p>
    <w:p w:rsidR="001D4A83" w:rsidRPr="00B1261D" w:rsidRDefault="001D4A83" w:rsidP="001D4A83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6428D0" w:rsidRPr="00B1261D" w:rsidRDefault="006428D0" w:rsidP="001D4A83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97AAF" w:rsidRDefault="006428D0" w:rsidP="001D4A83">
      <w:pPr>
        <w:rPr>
          <w:rFonts w:asciiTheme="minorHAnsi" w:hAnsiTheme="minorHAnsi" w:cstheme="minorHAnsi"/>
          <w:lang w:val="en-GB"/>
        </w:rPr>
      </w:pPr>
      <w:r w:rsidRPr="00981B55">
        <w:rPr>
          <w:rFonts w:asciiTheme="minorHAnsi" w:hAnsiTheme="minorHAnsi" w:cstheme="minorHAnsi"/>
          <w:lang w:val="en-GB"/>
        </w:rPr>
        <w:t>Date</w:t>
      </w:r>
      <w:r w:rsidRPr="00981B55">
        <w:rPr>
          <w:rFonts w:asciiTheme="minorHAnsi" w:hAnsiTheme="minorHAnsi" w:cstheme="minorHAnsi"/>
          <w:lang w:val="en-GB"/>
        </w:rPr>
        <w:tab/>
      </w:r>
      <w:r w:rsidRPr="00981B55">
        <w:rPr>
          <w:rFonts w:asciiTheme="minorHAnsi" w:hAnsiTheme="minorHAnsi" w:cstheme="minorHAnsi"/>
          <w:lang w:val="en-GB"/>
        </w:rPr>
        <w:tab/>
      </w:r>
      <w:r w:rsidRPr="00981B55">
        <w:rPr>
          <w:rFonts w:asciiTheme="minorHAnsi" w:hAnsiTheme="minorHAnsi" w:cstheme="minorHAnsi"/>
          <w:lang w:val="en-GB"/>
        </w:rPr>
        <w:tab/>
      </w:r>
      <w:r w:rsidRPr="00981B55">
        <w:rPr>
          <w:rFonts w:asciiTheme="minorHAnsi" w:hAnsiTheme="minorHAnsi" w:cstheme="minorHAnsi"/>
          <w:lang w:val="en-GB"/>
        </w:rPr>
        <w:tab/>
        <w:t>N</w:t>
      </w:r>
      <w:r w:rsidR="000F1A80" w:rsidRPr="00981B55">
        <w:rPr>
          <w:rFonts w:asciiTheme="minorHAnsi" w:hAnsiTheme="minorHAnsi" w:cstheme="minorHAnsi"/>
          <w:lang w:val="en-GB"/>
        </w:rPr>
        <w:t>ame</w:t>
      </w:r>
      <w:r w:rsidR="000F1A80" w:rsidRPr="00981B55">
        <w:rPr>
          <w:rFonts w:asciiTheme="minorHAnsi" w:hAnsiTheme="minorHAnsi" w:cstheme="minorHAnsi"/>
          <w:lang w:val="en-GB"/>
        </w:rPr>
        <w:tab/>
      </w:r>
      <w:r w:rsidR="000F1A80" w:rsidRPr="00981B55">
        <w:rPr>
          <w:rFonts w:asciiTheme="minorHAnsi" w:hAnsiTheme="minorHAnsi" w:cstheme="minorHAnsi"/>
          <w:lang w:val="en-GB"/>
        </w:rPr>
        <w:tab/>
      </w:r>
      <w:r w:rsidR="000F1A80" w:rsidRPr="00981B55">
        <w:rPr>
          <w:rFonts w:asciiTheme="minorHAnsi" w:hAnsiTheme="minorHAnsi" w:cstheme="minorHAnsi"/>
          <w:lang w:val="en-GB"/>
        </w:rPr>
        <w:tab/>
      </w:r>
      <w:r w:rsidRPr="00981B55">
        <w:rPr>
          <w:rFonts w:asciiTheme="minorHAnsi" w:hAnsiTheme="minorHAnsi" w:cstheme="minorHAnsi"/>
          <w:lang w:val="en-GB"/>
        </w:rPr>
        <w:tab/>
      </w:r>
      <w:r w:rsidRPr="00981B55">
        <w:rPr>
          <w:rFonts w:asciiTheme="minorHAnsi" w:hAnsiTheme="minorHAnsi" w:cstheme="minorHAnsi"/>
          <w:lang w:val="en-GB"/>
        </w:rPr>
        <w:tab/>
      </w:r>
      <w:r w:rsidRPr="00981B55">
        <w:rPr>
          <w:rFonts w:asciiTheme="minorHAnsi" w:hAnsiTheme="minorHAnsi" w:cstheme="minorHAnsi"/>
          <w:lang w:val="en-GB"/>
        </w:rPr>
        <w:tab/>
        <w:t>Signature</w:t>
      </w:r>
      <w:r w:rsidR="00B80FAF">
        <w:rPr>
          <w:rFonts w:asciiTheme="minorHAnsi" w:hAnsiTheme="minorHAnsi" w:cstheme="minorHAnsi"/>
          <w:lang w:val="en-GB"/>
        </w:rPr>
        <w:t>*</w:t>
      </w:r>
    </w:p>
    <w:p w:rsidR="00B80FAF" w:rsidRDefault="00B80FAF">
      <w:pPr>
        <w:spacing w:after="160" w:line="259" w:lineRule="auto"/>
        <w:rPr>
          <w:rFonts w:asciiTheme="minorHAnsi" w:hAnsiTheme="minorHAnsi" w:cstheme="minorHAnsi"/>
          <w:lang w:val="en-GB"/>
        </w:rPr>
      </w:pPr>
    </w:p>
    <w:p w:rsidR="00857513" w:rsidRPr="00B94024" w:rsidRDefault="00857513" w:rsidP="00B80FAF">
      <w:pPr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  <w:lang w:val="en-US"/>
        </w:rPr>
      </w:pPr>
    </w:p>
    <w:p w:rsidR="00857513" w:rsidRPr="00B94024" w:rsidRDefault="00857513" w:rsidP="00B80FAF">
      <w:pPr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en-US"/>
        </w:rPr>
      </w:pPr>
    </w:p>
    <w:p w:rsidR="00857513" w:rsidRPr="00B94024" w:rsidRDefault="00857513" w:rsidP="00B80FAF">
      <w:pPr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en-US"/>
        </w:rPr>
      </w:pPr>
    </w:p>
    <w:p w:rsidR="00857513" w:rsidRPr="00B94024" w:rsidRDefault="00857513" w:rsidP="00B80FAF">
      <w:pPr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en-US"/>
        </w:rPr>
      </w:pPr>
    </w:p>
    <w:p w:rsidR="00B80FAF" w:rsidRPr="00B94024" w:rsidRDefault="00857513" w:rsidP="00B80FAF">
      <w:pPr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en-US"/>
        </w:rPr>
      </w:pPr>
      <w:r w:rsidRPr="00B94024"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en-US"/>
        </w:rPr>
        <w:t>*</w:t>
      </w:r>
      <w:r w:rsidR="00B80FAF" w:rsidRPr="00B94024"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en-US"/>
        </w:rPr>
        <w:t>Charter to sign, scan and email back to the platform manager. Copy must be kept by t</w:t>
      </w:r>
      <w:r w:rsidRPr="00B94024"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en-US"/>
        </w:rPr>
        <w:t>h</w:t>
      </w:r>
      <w:r w:rsidR="00B80FAF" w:rsidRPr="00B94024"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en-US"/>
        </w:rPr>
        <w:t xml:space="preserve">e </w:t>
      </w:r>
      <w:r w:rsidR="003C0719" w:rsidRPr="00B94024"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en-US"/>
        </w:rPr>
        <w:t>applicant</w:t>
      </w:r>
      <w:r w:rsidRPr="00B94024"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en-US"/>
        </w:rPr>
        <w:t>.</w:t>
      </w:r>
    </w:p>
    <w:p w:rsidR="00497AAF" w:rsidRDefault="00497AAF">
      <w:pPr>
        <w:spacing w:after="160" w:line="259" w:lineRule="auto"/>
        <w:rPr>
          <w:rFonts w:asciiTheme="minorHAnsi" w:hAnsiTheme="minorHAnsi" w:cstheme="minorHAnsi"/>
          <w:lang w:val="en-GB"/>
        </w:rPr>
      </w:pPr>
    </w:p>
    <w:sectPr w:rsidR="00497AAF" w:rsidSect="000353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426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02D" w:rsidRDefault="0090202D" w:rsidP="00E630F2">
      <w:r>
        <w:separator/>
      </w:r>
    </w:p>
  </w:endnote>
  <w:endnote w:type="continuationSeparator" w:id="0">
    <w:p w:rsidR="0090202D" w:rsidRDefault="0090202D" w:rsidP="00E6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024" w:rsidRDefault="00B940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944" w:rsidRPr="00035357" w:rsidRDefault="00A24199" w:rsidP="00035357">
    <w:pPr>
      <w:pStyle w:val="Pieddepage"/>
      <w:rPr>
        <w:sz w:val="18"/>
      </w:rPr>
    </w:pPr>
    <w:r>
      <w:rPr>
        <w:noProof/>
        <w:sz w:val="18"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5227502</wp:posOffset>
          </wp:positionH>
          <wp:positionV relativeFrom="paragraph">
            <wp:posOffset>62684</wp:posOffset>
          </wp:positionV>
          <wp:extent cx="1131570" cy="428625"/>
          <wp:effectExtent l="19050" t="0" r="0" b="0"/>
          <wp:wrapNone/>
          <wp:docPr id="6" name="Image 3" descr="Unistra-bl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stra-ble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157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5CE89DBD">
          <wp:simplePos x="0" y="0"/>
          <wp:positionH relativeFrom="column">
            <wp:posOffset>4488543</wp:posOffset>
          </wp:positionH>
          <wp:positionV relativeFrom="paragraph">
            <wp:posOffset>5080</wp:posOffset>
          </wp:positionV>
          <wp:extent cx="477520" cy="476250"/>
          <wp:effectExtent l="0" t="0" r="0" b="0"/>
          <wp:wrapNone/>
          <wp:docPr id="2" name="Image 2" descr="Résultat de recherche d'images pour &quot;logo cnr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ésultat de recherche d'images pour &quot;logo cnrs&quot;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66" t="21627" r="25984" b="21437"/>
                  <a:stretch/>
                </pic:blipFill>
                <pic:spPr bwMode="auto">
                  <a:xfrm>
                    <a:off x="0" y="0"/>
                    <a:ext cx="4775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1BE2">
      <w:rPr>
        <w:noProof/>
        <w:sz w:val="18"/>
        <w:lang w:eastAsia="fr-F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-883920</wp:posOffset>
              </wp:positionH>
              <wp:positionV relativeFrom="paragraph">
                <wp:posOffset>-50166</wp:posOffset>
              </wp:positionV>
              <wp:extent cx="7520305" cy="0"/>
              <wp:effectExtent l="0" t="19050" r="4445" b="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030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995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E508B6" id="Connecteur droit 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9.6pt,-3.95pt" to="522.5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" strokecolor="#2995cd" strokeweight="2.25pt">
              <v:stroke joinstyle="miter"/>
              <o:lock v:ext="edit" shapetype="f"/>
            </v:line>
          </w:pict>
        </mc:Fallback>
      </mc:AlternateContent>
    </w:r>
    <w:r w:rsidR="00CD4944" w:rsidRPr="00035357">
      <w:rPr>
        <w:sz w:val="18"/>
      </w:rPr>
      <w:t>IPCMS – Institut de Physique et Chimie des Matériaux de Strasbourg</w:t>
    </w:r>
  </w:p>
  <w:p w:rsidR="00035357" w:rsidRPr="00035357" w:rsidRDefault="00035357" w:rsidP="00035357">
    <w:pPr>
      <w:pStyle w:val="Pieddepage"/>
      <w:rPr>
        <w:sz w:val="18"/>
      </w:rPr>
    </w:pPr>
    <w:r w:rsidRPr="00035357">
      <w:rPr>
        <w:sz w:val="18"/>
      </w:rPr>
      <w:t>23 rue du Loess, 67200, Strasbourg</w:t>
    </w:r>
  </w:p>
  <w:p w:rsidR="00035357" w:rsidRPr="00035357" w:rsidRDefault="00035357" w:rsidP="00035357">
    <w:pPr>
      <w:pStyle w:val="Pieddepage"/>
      <w:rPr>
        <w:sz w:val="18"/>
      </w:rPr>
    </w:pPr>
    <w:r w:rsidRPr="00035357">
      <w:rPr>
        <w:sz w:val="18"/>
      </w:rPr>
      <w:t>www.ipcms.unistra.fr</w:t>
    </w:r>
  </w:p>
  <w:p w:rsidR="00CD4944" w:rsidRDefault="00CD4944" w:rsidP="00CD4944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024" w:rsidRDefault="00B940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02D" w:rsidRDefault="0090202D" w:rsidP="00E630F2">
      <w:r>
        <w:separator/>
      </w:r>
    </w:p>
  </w:footnote>
  <w:footnote w:type="continuationSeparator" w:id="0">
    <w:p w:rsidR="0090202D" w:rsidRDefault="0090202D" w:rsidP="00E6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024" w:rsidRDefault="00B940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980"/>
      <w:gridCol w:w="5953"/>
      <w:gridCol w:w="1555"/>
    </w:tblGrid>
    <w:tr w:rsidR="007C4377" w:rsidTr="00D53BAB">
      <w:trPr>
        <w:trHeight w:val="454"/>
      </w:trPr>
      <w:tc>
        <w:tcPr>
          <w:tcW w:w="1980" w:type="dxa"/>
          <w:vMerge w:val="restart"/>
          <w:vAlign w:val="center"/>
        </w:tcPr>
        <w:p w:rsidR="007C4377" w:rsidRDefault="00CD4944" w:rsidP="00D53BAB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>
                <wp:extent cx="542925" cy="511326"/>
                <wp:effectExtent l="0" t="0" r="0" b="3175"/>
                <wp:docPr id="1" name="Image 1" descr="C:\Users\MASSERON Morgan\AppData\Local\Microsoft\Windows\INetCache\Content.Word\LOGO IPCMS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SSERON Morgan\AppData\Local\Microsoft\Windows\INetCache\Content.Word\LOGO IPCMS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326" cy="518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53BAB" w:rsidRDefault="00FB4839" w:rsidP="00D53BAB">
          <w:pPr>
            <w:pStyle w:val="En-tte"/>
            <w:jc w:val="center"/>
          </w:pPr>
          <w:r>
            <w:t>PIL-02-FOR0</w:t>
          </w:r>
          <w:r w:rsidR="00497AAF">
            <w:t>2</w:t>
          </w:r>
        </w:p>
      </w:tc>
      <w:tc>
        <w:tcPr>
          <w:tcW w:w="5953" w:type="dxa"/>
          <w:vAlign w:val="center"/>
        </w:tcPr>
        <w:p w:rsidR="007C4377" w:rsidRPr="00CD4944" w:rsidRDefault="007C4377" w:rsidP="00D53BAB">
          <w:pPr>
            <w:pStyle w:val="En-tte"/>
            <w:jc w:val="center"/>
            <w:rPr>
              <w:b/>
            </w:rPr>
          </w:pPr>
          <w:r w:rsidRPr="00CD4944">
            <w:rPr>
              <w:b/>
            </w:rPr>
            <w:t>Processus</w:t>
          </w:r>
          <w:r w:rsidR="001D4A83">
            <w:rPr>
              <w:b/>
            </w:rPr>
            <w:t>Pilotage</w:t>
          </w:r>
        </w:p>
      </w:tc>
      <w:tc>
        <w:tcPr>
          <w:tcW w:w="1555" w:type="dxa"/>
          <w:vAlign w:val="center"/>
        </w:tcPr>
        <w:p w:rsidR="007C4377" w:rsidRDefault="00CD4944" w:rsidP="00D53BAB">
          <w:pPr>
            <w:pStyle w:val="En-tte"/>
            <w:jc w:val="center"/>
          </w:pPr>
          <w:r>
            <w:t xml:space="preserve">Version </w:t>
          </w:r>
          <w:r w:rsidR="00B94024">
            <w:t>3</w:t>
          </w:r>
        </w:p>
      </w:tc>
    </w:tr>
    <w:tr w:rsidR="007C4377" w:rsidTr="00D53BAB">
      <w:trPr>
        <w:trHeight w:val="454"/>
      </w:trPr>
      <w:tc>
        <w:tcPr>
          <w:tcW w:w="1980" w:type="dxa"/>
          <w:vMerge/>
          <w:vAlign w:val="center"/>
        </w:tcPr>
        <w:p w:rsidR="007C4377" w:rsidRDefault="007C4377" w:rsidP="00D53BAB">
          <w:pPr>
            <w:pStyle w:val="En-tte"/>
            <w:jc w:val="center"/>
          </w:pPr>
        </w:p>
      </w:tc>
      <w:tc>
        <w:tcPr>
          <w:tcW w:w="5953" w:type="dxa"/>
          <w:vAlign w:val="center"/>
        </w:tcPr>
        <w:p w:rsidR="007C4377" w:rsidRDefault="00423A2D" w:rsidP="00423A2D">
          <w:pPr>
            <w:pStyle w:val="En-tte"/>
            <w:jc w:val="center"/>
          </w:pPr>
          <w:bookmarkStart w:id="0" w:name="_GoBack"/>
          <w:r>
            <w:t>Plat</w:t>
          </w:r>
          <w:r w:rsidR="00FB4839">
            <w:t>forms</w:t>
          </w:r>
          <w:r>
            <w:t xml:space="preserve"> Charter</w:t>
          </w:r>
          <w:bookmarkEnd w:id="0"/>
        </w:p>
      </w:tc>
      <w:tc>
        <w:tcPr>
          <w:tcW w:w="1555" w:type="dxa"/>
          <w:vAlign w:val="center"/>
        </w:tcPr>
        <w:p w:rsidR="007C4377" w:rsidRDefault="00061E87" w:rsidP="00D53BAB">
          <w:pPr>
            <w:pStyle w:val="En-tte"/>
            <w:jc w:val="center"/>
          </w:pPr>
          <w:r>
            <w:t xml:space="preserve">Page </w:t>
          </w:r>
          <w:r w:rsidR="00355FF9">
            <w:fldChar w:fldCharType="begin"/>
          </w:r>
          <w:r>
            <w:instrText>PAGE   \* MERGEFORMAT</w:instrText>
          </w:r>
          <w:r w:rsidR="00355FF9">
            <w:fldChar w:fldCharType="separate"/>
          </w:r>
          <w:r w:rsidR="006928E3">
            <w:rPr>
              <w:noProof/>
            </w:rPr>
            <w:t>2</w:t>
          </w:r>
          <w:r w:rsidR="00355FF9">
            <w:fldChar w:fldCharType="end"/>
          </w:r>
          <w:r>
            <w:t>/</w:t>
          </w:r>
          <w:r w:rsidR="0090202D">
            <w:fldChar w:fldCharType="begin"/>
          </w:r>
          <w:r w:rsidR="0090202D">
            <w:instrText xml:space="preserve"> NUMPAGES   \* MERGEFORMAT </w:instrText>
          </w:r>
          <w:r w:rsidR="0090202D">
            <w:fldChar w:fldCharType="separate"/>
          </w:r>
          <w:r w:rsidR="006928E3">
            <w:rPr>
              <w:noProof/>
            </w:rPr>
            <w:t>2</w:t>
          </w:r>
          <w:r w:rsidR="0090202D">
            <w:rPr>
              <w:noProof/>
            </w:rPr>
            <w:fldChar w:fldCharType="end"/>
          </w:r>
        </w:p>
      </w:tc>
    </w:tr>
  </w:tbl>
  <w:p w:rsidR="007C4377" w:rsidRPr="007C4377" w:rsidRDefault="007C4377" w:rsidP="007C43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024" w:rsidRDefault="00B940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46AE4"/>
    <w:multiLevelType w:val="hybridMultilevel"/>
    <w:tmpl w:val="E80480FA"/>
    <w:lvl w:ilvl="0" w:tplc="63A082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30"/>
    <w:rsid w:val="00005093"/>
    <w:rsid w:val="00010864"/>
    <w:rsid w:val="00025C74"/>
    <w:rsid w:val="00031BE2"/>
    <w:rsid w:val="00035357"/>
    <w:rsid w:val="00061E87"/>
    <w:rsid w:val="000D3DBD"/>
    <w:rsid w:val="000E555A"/>
    <w:rsid w:val="000F1A80"/>
    <w:rsid w:val="00105643"/>
    <w:rsid w:val="00135D7A"/>
    <w:rsid w:val="001539D7"/>
    <w:rsid w:val="00154DDB"/>
    <w:rsid w:val="001848DC"/>
    <w:rsid w:val="00191ECC"/>
    <w:rsid w:val="001B11F5"/>
    <w:rsid w:val="001D4421"/>
    <w:rsid w:val="001D4A83"/>
    <w:rsid w:val="001E1C18"/>
    <w:rsid w:val="001F079E"/>
    <w:rsid w:val="001F6C00"/>
    <w:rsid w:val="001F6F96"/>
    <w:rsid w:val="002478F8"/>
    <w:rsid w:val="0028425F"/>
    <w:rsid w:val="00297092"/>
    <w:rsid w:val="002A1512"/>
    <w:rsid w:val="002A40F8"/>
    <w:rsid w:val="002C363B"/>
    <w:rsid w:val="002D5943"/>
    <w:rsid w:val="002F7CEB"/>
    <w:rsid w:val="003119D0"/>
    <w:rsid w:val="00314DB2"/>
    <w:rsid w:val="003469F9"/>
    <w:rsid w:val="00355FF9"/>
    <w:rsid w:val="003A2FAC"/>
    <w:rsid w:val="003A6D24"/>
    <w:rsid w:val="003C0719"/>
    <w:rsid w:val="00401230"/>
    <w:rsid w:val="00416ED3"/>
    <w:rsid w:val="00423A2D"/>
    <w:rsid w:val="004315BC"/>
    <w:rsid w:val="0043679A"/>
    <w:rsid w:val="004548BD"/>
    <w:rsid w:val="00461DA0"/>
    <w:rsid w:val="00485A91"/>
    <w:rsid w:val="00497AAF"/>
    <w:rsid w:val="004A5A4B"/>
    <w:rsid w:val="004B42FD"/>
    <w:rsid w:val="004C758E"/>
    <w:rsid w:val="004E7CA6"/>
    <w:rsid w:val="00502DB8"/>
    <w:rsid w:val="00555CAF"/>
    <w:rsid w:val="0057118D"/>
    <w:rsid w:val="00586763"/>
    <w:rsid w:val="00590F95"/>
    <w:rsid w:val="005A38A5"/>
    <w:rsid w:val="005E6124"/>
    <w:rsid w:val="006005A9"/>
    <w:rsid w:val="006428D0"/>
    <w:rsid w:val="00675120"/>
    <w:rsid w:val="006928E3"/>
    <w:rsid w:val="006C1D8B"/>
    <w:rsid w:val="006E496C"/>
    <w:rsid w:val="007055BB"/>
    <w:rsid w:val="00712273"/>
    <w:rsid w:val="00765253"/>
    <w:rsid w:val="007C371D"/>
    <w:rsid w:val="007C4377"/>
    <w:rsid w:val="007D4082"/>
    <w:rsid w:val="00816D03"/>
    <w:rsid w:val="008224F7"/>
    <w:rsid w:val="00857513"/>
    <w:rsid w:val="00892AD6"/>
    <w:rsid w:val="008B6596"/>
    <w:rsid w:val="008C41A7"/>
    <w:rsid w:val="008E4D25"/>
    <w:rsid w:val="008F1244"/>
    <w:rsid w:val="0090202D"/>
    <w:rsid w:val="00907B0E"/>
    <w:rsid w:val="00910A35"/>
    <w:rsid w:val="00920E69"/>
    <w:rsid w:val="009365F1"/>
    <w:rsid w:val="009441B8"/>
    <w:rsid w:val="00966776"/>
    <w:rsid w:val="009771B1"/>
    <w:rsid w:val="00981B55"/>
    <w:rsid w:val="00983D64"/>
    <w:rsid w:val="00992EE5"/>
    <w:rsid w:val="0099645A"/>
    <w:rsid w:val="009D2350"/>
    <w:rsid w:val="009E74C4"/>
    <w:rsid w:val="00A14C8F"/>
    <w:rsid w:val="00A24199"/>
    <w:rsid w:val="00A60E78"/>
    <w:rsid w:val="00AA5737"/>
    <w:rsid w:val="00AD3C7D"/>
    <w:rsid w:val="00AE616A"/>
    <w:rsid w:val="00B07397"/>
    <w:rsid w:val="00B1261D"/>
    <w:rsid w:val="00B80FAF"/>
    <w:rsid w:val="00B94024"/>
    <w:rsid w:val="00BA0109"/>
    <w:rsid w:val="00BA09C6"/>
    <w:rsid w:val="00C52CAB"/>
    <w:rsid w:val="00C62B9A"/>
    <w:rsid w:val="00C7463D"/>
    <w:rsid w:val="00C776EA"/>
    <w:rsid w:val="00CA19D1"/>
    <w:rsid w:val="00CD4944"/>
    <w:rsid w:val="00D254CF"/>
    <w:rsid w:val="00D36B87"/>
    <w:rsid w:val="00D464BA"/>
    <w:rsid w:val="00D53BAB"/>
    <w:rsid w:val="00D56EF2"/>
    <w:rsid w:val="00D87AE4"/>
    <w:rsid w:val="00D97C21"/>
    <w:rsid w:val="00DA0602"/>
    <w:rsid w:val="00DA0B9D"/>
    <w:rsid w:val="00DB3BE9"/>
    <w:rsid w:val="00DC1E79"/>
    <w:rsid w:val="00E630F2"/>
    <w:rsid w:val="00E6606F"/>
    <w:rsid w:val="00EA41F7"/>
    <w:rsid w:val="00EC30BC"/>
    <w:rsid w:val="00EF39D7"/>
    <w:rsid w:val="00F01E2F"/>
    <w:rsid w:val="00F03673"/>
    <w:rsid w:val="00F03E64"/>
    <w:rsid w:val="00F52B8B"/>
    <w:rsid w:val="00F66AFB"/>
    <w:rsid w:val="00FA187B"/>
    <w:rsid w:val="00FA5B0C"/>
    <w:rsid w:val="00FB4839"/>
    <w:rsid w:val="00FB6226"/>
    <w:rsid w:val="00FC01E7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BD9825-D22D-4A6A-9BFD-EACECBB0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30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630F2"/>
  </w:style>
  <w:style w:type="paragraph" w:styleId="Pieddepage">
    <w:name w:val="footer"/>
    <w:basedOn w:val="Normal"/>
    <w:link w:val="PieddepageCar"/>
    <w:uiPriority w:val="99"/>
    <w:unhideWhenUsed/>
    <w:rsid w:val="00E630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630F2"/>
  </w:style>
  <w:style w:type="paragraph" w:styleId="NormalWeb">
    <w:name w:val="Normal (Web)"/>
    <w:basedOn w:val="Normal"/>
    <w:uiPriority w:val="99"/>
    <w:semiHidden/>
    <w:unhideWhenUsed/>
    <w:rsid w:val="00025C74"/>
    <w:pPr>
      <w:spacing w:before="100" w:beforeAutospacing="1" w:after="100" w:afterAutospacing="1"/>
    </w:pPr>
    <w:rPr>
      <w:rFonts w:eastAsiaTheme="minorEastAsia"/>
    </w:rPr>
  </w:style>
  <w:style w:type="paragraph" w:customStyle="1" w:styleId="Contenudetableau">
    <w:name w:val="Contenu de tableau"/>
    <w:basedOn w:val="Normal"/>
    <w:rsid w:val="001539D7"/>
    <w:pPr>
      <w:widowControl w:val="0"/>
      <w:suppressLineNumbers/>
      <w:suppressAutoHyphens/>
    </w:pPr>
    <w:rPr>
      <w:rFonts w:eastAsia="SimSun" w:cs="Arial"/>
      <w:kern w:val="1"/>
      <w:lang w:eastAsia="hi-IN" w:bidi="hi-IN"/>
    </w:rPr>
  </w:style>
  <w:style w:type="table" w:customStyle="1" w:styleId="GridTable1Light1">
    <w:name w:val="Grid Table 1 Light1"/>
    <w:basedOn w:val="TableauNormal"/>
    <w:uiPriority w:val="46"/>
    <w:rsid w:val="00DB3B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auNormal"/>
    <w:uiPriority w:val="42"/>
    <w:rsid w:val="00910A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ansinterligne">
    <w:name w:val="No Spacing"/>
    <w:link w:val="SansinterligneCar"/>
    <w:uiPriority w:val="1"/>
    <w:qFormat/>
    <w:rsid w:val="00F52B8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52B8B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1E1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53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6E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ED3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B65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659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659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65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659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hazi\AppData\Local\Temp\MicrosoftEdgeDownloads\3690b415-6cf1-43a1-91b3-922b12a1ccbe\PIL-01-FOR09%20Plateforms%20chart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E127-24A4-49E9-AF2E-C159D929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PIL-01-FOR09 Plateforms charter</Template>
  <TotalTime>0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msahazi</dc:creator>
  <cp:lastModifiedBy>msahazi</cp:lastModifiedBy>
  <cp:revision>1</cp:revision>
  <cp:lastPrinted>2017-10-18T06:41:00Z</cp:lastPrinted>
  <dcterms:created xsi:type="dcterms:W3CDTF">2025-04-04T12:12:00Z</dcterms:created>
  <dcterms:modified xsi:type="dcterms:W3CDTF">2025-04-04T12:12:00Z</dcterms:modified>
</cp:coreProperties>
</file>